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01612D">
              <w:rPr>
                <w:b/>
                <w:bCs/>
                <w:sz w:val="22"/>
                <w:szCs w:val="22"/>
              </w:rPr>
              <w:t>3.034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5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5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01612D" w:rsidP="0001612D">
            <w:pPr>
              <w:jc w:val="center"/>
            </w:pPr>
            <w:r w:rsidRPr="0001612D">
              <w:rPr>
                <w:sz w:val="22"/>
                <w:szCs w:val="22"/>
              </w:rPr>
              <w:t>630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01612D" w:rsidP="0001612D">
            <w:pPr>
              <w:jc w:val="center"/>
            </w:pPr>
            <w:r w:rsidRPr="0001612D">
              <w:rPr>
                <w:sz w:val="22"/>
                <w:szCs w:val="22"/>
              </w:rPr>
              <w:t>167</w:t>
            </w:r>
            <w:r w:rsidR="009076D1" w:rsidRPr="0001612D">
              <w:rPr>
                <w:sz w:val="22"/>
                <w:szCs w:val="22"/>
              </w:rPr>
              <w:t>0</w:t>
            </w:r>
            <w:r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D6EE2">
              <w:rPr>
                <w:sz w:val="22"/>
                <w:szCs w:val="22"/>
              </w:rPr>
              <w:t xml:space="preserve"> 52169-</w:t>
            </w:r>
            <w:r w:rsidR="009B1AC7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мм и толщиной стенки 3.5мм, подпятник должен заканчиваться монтажным круглым </w:t>
            </w:r>
            <w:proofErr w:type="gramStart"/>
            <w:r w:rsidRPr="00BD6EE2">
              <w:rPr>
                <w:bCs/>
              </w:rPr>
              <w:t>фланцем</w:t>
            </w:r>
            <w:proofErr w:type="gramEnd"/>
            <w:r w:rsidRPr="00BD6EE2">
              <w:rPr>
                <w:bCs/>
              </w:rPr>
              <w:t xml:space="preserve">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397209" w:rsidP="0001612D">
            <w:r>
              <w:rPr>
                <w:sz w:val="22"/>
                <w:szCs w:val="22"/>
              </w:rPr>
              <w:t>В кол-ве 4</w:t>
            </w:r>
            <w:r w:rsidR="009076D1">
              <w:rPr>
                <w:sz w:val="22"/>
                <w:szCs w:val="22"/>
              </w:rPr>
              <w:t>шт.</w:t>
            </w:r>
            <w:r w:rsidR="0001612D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140х40 мм</w:t>
            </w:r>
            <w:r w:rsidR="0001612D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60283">
            <w:r>
              <w:t>В кол-ве 4</w:t>
            </w:r>
            <w:r w:rsidR="00AD7D44">
              <w:t xml:space="preserve"> </w:t>
            </w:r>
            <w:r>
              <w:t>шт</w:t>
            </w:r>
            <w:proofErr w:type="gramStart"/>
            <w:r>
              <w:t>.д</w:t>
            </w:r>
            <w:proofErr w:type="gramEnd"/>
            <w:r>
              <w:t xml:space="preserve">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01612D">
            <w:r>
              <w:t>В кол-ве 2</w:t>
            </w:r>
            <w:r w:rsidRPr="009D2723">
              <w:t xml:space="preserve"> шт. должно быть выполнено из влагостойкой фанеры марки ФСФ сорт н</w:t>
            </w:r>
            <w:r>
              <w:t xml:space="preserve">е ниже 2/2 и толщиной не менее 24 </w:t>
            </w:r>
            <w:r w:rsidRPr="009D2723">
              <w:t xml:space="preserve">мм и </w:t>
            </w:r>
            <w:r>
              <w:t>иметь декоративные накладки.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9B1AC7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proofErr w:type="spellStart"/>
            <w:proofErr w:type="gramStart"/>
            <w:r w:rsidRPr="00EE13EF">
              <w:rPr>
                <w:color w:val="000000"/>
                <w:sz w:val="22"/>
                <w:szCs w:val="22"/>
              </w:rPr>
              <w:t>полимерной-порошковой</w:t>
            </w:r>
            <w:proofErr w:type="spellEnd"/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01612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</w:t>
            </w:r>
            <w:r w:rsidR="0001612D">
              <w:rPr>
                <w:color w:val="000000"/>
                <w:sz w:val="22"/>
                <w:szCs w:val="22"/>
              </w:rPr>
              <w:t xml:space="preserve"> и 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по </w:t>
            </w:r>
            <w:r w:rsidR="0001612D">
              <w:rPr>
                <w:color w:val="000000"/>
                <w:sz w:val="22"/>
                <w:szCs w:val="22"/>
              </w:rPr>
              <w:t>периметру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накрывочными досками из фанеры толщиной не менее 24 мм</w:t>
            </w:r>
            <w:proofErr w:type="gramStart"/>
            <w:r w:rsidR="009076D1" w:rsidRPr="009076D1">
              <w:rPr>
                <w:color w:val="000000"/>
                <w:sz w:val="22"/>
                <w:szCs w:val="22"/>
              </w:rPr>
              <w:t>.</w:t>
            </w:r>
            <w:r w:rsidR="0097029D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97209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B1AC7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14BC0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4</cp:revision>
  <dcterms:created xsi:type="dcterms:W3CDTF">2013-04-18T11:36:00Z</dcterms:created>
  <dcterms:modified xsi:type="dcterms:W3CDTF">2013-12-05T13:40:00Z</dcterms:modified>
</cp:coreProperties>
</file>